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t xml:space="preserve">Adorno, T., </w:t>
      </w:r>
      <w:r>
        <w:rPr>
          <w:b/>
          <w:bCs/>
          <w:i/>
          <w:iCs/>
        </w:rPr>
        <w:t>Filozofska terminologija</w:t>
      </w:r>
      <w:r>
        <w:rPr>
          <w:b/>
          <w:bCs/>
        </w:rPr>
        <w:t xml:space="preserve"> (08. 04. 2020.)</w:t>
      </w:r>
    </w:p>
    <w:p>
      <w:pPr>
        <w:pStyle w:val="Normal"/>
        <w:rPr>
          <w:b/>
          <w:b/>
          <w:bCs/>
        </w:rPr>
      </w:pPr>
      <w:r>
        <w:rPr>
          <w:b/>
          <w:bCs/>
        </w:rPr>
      </w:r>
    </w:p>
    <w:p>
      <w:pPr>
        <w:pStyle w:val="Normal"/>
        <w:rPr>
          <w:b w:val="false"/>
          <w:b w:val="false"/>
          <w:bCs w:val="false"/>
        </w:rPr>
      </w:pPr>
      <w:r>
        <w:rPr>
          <w:b w:val="false"/>
          <w:bCs w:val="false"/>
        </w:rPr>
        <w:t>Izvodi uz prethodna pitanja:</w:t>
      </w:r>
    </w:p>
    <w:p>
      <w:pPr>
        <w:pStyle w:val="Normal"/>
        <w:rPr>
          <w:b w:val="false"/>
          <w:b w:val="false"/>
          <w:bCs w:val="false"/>
        </w:rPr>
      </w:pPr>
      <w:r>
        <w:rPr>
          <w:b w:val="false"/>
          <w:bCs w:val="false"/>
        </w:rPr>
      </w:r>
    </w:p>
    <w:p>
      <w:pPr>
        <w:pStyle w:val="Normal"/>
        <w:jc w:val="both"/>
        <w:rPr>
          <w:b w:val="false"/>
          <w:b w:val="false"/>
          <w:bCs w:val="false"/>
        </w:rPr>
      </w:pPr>
      <w:r>
        <w:rPr>
          <w:rFonts w:eastAsia="Times New Roman" w:cs="Times New Roman"/>
          <w:b w:val="false"/>
          <w:bCs w:val="false"/>
        </w:rPr>
        <w:t>„</w:t>
      </w:r>
      <w:r>
        <w:rPr>
          <w:rFonts w:eastAsia="NSimSun" w:cs="Arial"/>
          <w:b w:val="false"/>
          <w:bCs w:val="false"/>
        </w:rPr>
        <w:t>Zadatak filozofije spram pogleda na svijet, s kojima ljudi nastupaju u svojoj okolini, vidim ne u tome da ih potvrđuje, već u tome da ih likvidira. Sigurno ne u tom smislu da filozofija treba da se bori protiv svakog pogleda na svijet; to bi bilo isto tako neprimjereno kao kad bi se unaprijed zauzela za neki određeni pogled na svijet. Ona, naprotiv, putem medijuma konsekventnog mišljenja, argumenta, mora mogućnost te sfere da odvoji od pukog pogleda na svijet.</w:t>
      </w:r>
      <w:r>
        <w:rPr>
          <w:rFonts w:eastAsia="Times New Roman" w:cs="Times New Roman"/>
          <w:b w:val="false"/>
          <w:bCs w:val="false"/>
        </w:rPr>
        <w:t>‟</w:t>
      </w:r>
    </w:p>
    <w:p>
      <w:pPr>
        <w:pStyle w:val="Normal"/>
        <w:jc w:val="both"/>
        <w:rPr>
          <w:rFonts w:ascii="Times New Roman" w:hAnsi="Times New Roman" w:eastAsia="NSimSun" w:cs="Arial"/>
        </w:rPr>
      </w:pPr>
      <w:r>
        <w:rPr>
          <w:b w:val="false"/>
          <w:bCs w:val="false"/>
        </w:rPr>
      </w:r>
    </w:p>
    <w:p>
      <w:pPr>
        <w:pStyle w:val="Normal"/>
        <w:jc w:val="both"/>
        <w:rPr>
          <w:b w:val="false"/>
          <w:b w:val="false"/>
          <w:bCs w:val="false"/>
        </w:rPr>
      </w:pPr>
      <w:r>
        <w:rPr>
          <w:rFonts w:eastAsia="Times New Roman" w:cs="Times New Roman"/>
          <w:b w:val="false"/>
          <w:bCs w:val="false"/>
        </w:rPr>
        <w:t>„</w:t>
      </w:r>
      <w:r>
        <w:rPr>
          <w:rFonts w:eastAsia="NSimSun" w:cs="Arial"/>
          <w:b w:val="false"/>
          <w:bCs w:val="false"/>
        </w:rPr>
        <w:t>Pogledom na svijet ja nazivam predstave o biti i o vezi stvari, svijeta, čovjeka, predstave koje se mjere prema subjektivnoj potrebi za jedinstvom, za objašnjenjem, za krajnjim odgovorima i koje, radi zadovoljenja jedne subjektivne spoznajne potrebe, unaprijed postavljaju zahtjev za objektivno istinitim. Sfera pogleda na svijet je, drugim riječima, u sistem uzdignuto mnijenje, a uopšte je karakteristično za onog koji tako, svjetonazorno, misli da je on sklon tome, da o jednom pogledu na svijet govori kao o ‚mom pogledu na svijet‘</w:t>
      </w:r>
      <w:r>
        <w:rPr>
          <w:rFonts w:eastAsia="Times New Roman" w:cs="Times New Roman"/>
          <w:b w:val="false"/>
          <w:bCs w:val="false"/>
        </w:rPr>
        <w:t>‟</w:t>
      </w:r>
    </w:p>
    <w:p>
      <w:pPr>
        <w:pStyle w:val="Normal"/>
        <w:jc w:val="both"/>
        <w:rPr>
          <w:rFonts w:ascii="Times New Roman" w:hAnsi="Times New Roman" w:eastAsia="NSimSun" w:cs="Arial"/>
        </w:rPr>
      </w:pPr>
      <w:r>
        <w:rPr>
          <w:b w:val="false"/>
          <w:bCs w:val="false"/>
        </w:rPr>
      </w:r>
    </w:p>
    <w:p>
      <w:pPr>
        <w:pStyle w:val="Normal"/>
        <w:jc w:val="both"/>
        <w:rPr>
          <w:b w:val="false"/>
          <w:b w:val="false"/>
          <w:bCs w:val="false"/>
        </w:rPr>
      </w:pPr>
      <w:r>
        <w:rPr>
          <w:rFonts w:eastAsia="Times New Roman" w:cs="Times New Roman"/>
          <w:b w:val="false"/>
          <w:bCs w:val="false"/>
        </w:rPr>
        <w:t>„</w:t>
      </w:r>
      <w:r>
        <w:rPr>
          <w:rFonts w:eastAsia="NSimSun" w:cs="Arial"/>
          <w:b w:val="false"/>
          <w:bCs w:val="false"/>
        </w:rPr>
        <w:t>Nazor na svijet danas ima oblik, koji se uglavnom, označava pojmom vezanosti. Takozvane vezanosti su ono što je došlo na mjesto nazora na svijet...u pojmu vezanosti se predstavlja jedna vrsta objektivnosti, objektivne obaveze...vezanosti su ono što ljudi sobom donose kao nešto dovršeno, što se ne može napadati i po čemu oni onda, između ostalog, mjere filozofiju...ova vezanost dolazi iz potrebe da imamo, kako to kaže Breht, nešto čega treba da se držimo...</w:t>
      </w:r>
      <w:r>
        <w:rPr>
          <w:rFonts w:eastAsia="Times New Roman" w:cs="Times New Roman"/>
          <w:b w:val="false"/>
          <w:bCs w:val="false"/>
        </w:rPr>
        <w:t>‟</w:t>
      </w:r>
    </w:p>
    <w:p>
      <w:pPr>
        <w:pStyle w:val="Normal"/>
        <w:jc w:val="both"/>
        <w:rPr>
          <w:rFonts w:ascii="Times New Roman" w:hAnsi="Times New Roman" w:eastAsia="Times New Roman" w:cs="Times New Roman"/>
        </w:rPr>
      </w:pPr>
      <w:r>
        <w:rPr>
          <w:b w:val="false"/>
          <w:bCs w:val="false"/>
        </w:rPr>
      </w:r>
    </w:p>
    <w:p>
      <w:pPr>
        <w:pStyle w:val="Normal"/>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Termini nastaju tamo gdje pored žive svrhe samog mišljenja dolazi, dodatno, još jedna svrha, koja je, u odnosu na ovu prvu, sekundarna i spoljna – svrha prenošenja ovog mišljenja. Tu posredničku funkciju ima terminologija i time od početka dolazi u izvjesnu suprotnost spram neposrednog mišljenja same stvari ili dolazi u izvjesnu protivurječnost s njim. Zahvaljujući tome, ona ima nešto od onih fenomena koje danas možemo da posmatramo kao </w:t>
      </w:r>
      <w:r>
        <w:rPr>
          <w:rFonts w:eastAsia="Times New Roman" w:cs="Times New Roman"/>
          <w:b w:val="false"/>
          <w:bCs w:val="false"/>
          <w:i/>
          <w:iCs/>
        </w:rPr>
        <w:t>pedagogiziranje</w:t>
      </w:r>
      <w:r>
        <w:rPr>
          <w:rFonts w:eastAsia="Times New Roman" w:cs="Times New Roman"/>
          <w:b w:val="false"/>
          <w:bCs w:val="false"/>
          <w:i w:val="false"/>
          <w:iCs w:val="false"/>
        </w:rPr>
        <w:t>; pitanje kako nešto prenijeti drugim ljudima, kako stići s tim do ljudi, kako to komunicirati, zamjenjuje nju po samoj stvari ili po istini stvari. Misao kao sredstvo dolazi na mjesto misli kao svrhe.‟</w:t>
      </w:r>
    </w:p>
    <w:p>
      <w:pPr>
        <w:pStyle w:val="Normal"/>
        <w:jc w:val="both"/>
        <w:rPr>
          <w:rFonts w:ascii="Times New Roman" w:hAnsi="Times New Roman" w:eastAsia="Times New Roman" w:cs="Times New Roman"/>
        </w:rPr>
      </w:pPr>
      <w:r>
        <w:rPr>
          <w:b w:val="false"/>
          <w:bCs w:val="false"/>
        </w:rPr>
      </w:r>
    </w:p>
    <w:p>
      <w:pPr>
        <w:pStyle w:val="Normal"/>
        <w:jc w:val="both"/>
        <w:rPr>
          <w:b w:val="false"/>
          <w:b w:val="false"/>
          <w:bCs w:val="false"/>
        </w:rPr>
      </w:pPr>
      <w:r>
        <w:rPr>
          <w:rFonts w:eastAsia="Times New Roman" w:cs="Times New Roman"/>
          <w:b w:val="false"/>
          <w:bCs w:val="false"/>
        </w:rPr>
        <w:t>„</w:t>
      </w:r>
      <w:r>
        <w:rPr>
          <w:rFonts w:eastAsia="Times New Roman" w:cs="Times New Roman"/>
          <w:b w:val="false"/>
          <w:bCs w:val="false"/>
        </w:rPr>
        <w:t>Tako bih ja filozofiju definisao kao kretanje duha, čija sopstvena intencija je istina, a da ona i ne pomišlja kako sad u nekim njezinim pojedinačnim stavovima ili u bilo kojem obličju ima neposrednost ove istine kao nešto već dovršeno.‟</w:t>
      </w:r>
    </w:p>
    <w:p>
      <w:pPr>
        <w:pStyle w:val="Normal"/>
        <w:jc w:val="both"/>
        <w:rPr>
          <w:rFonts w:ascii="Times New Roman" w:hAnsi="Times New Roman" w:eastAsia="NSimSun" w:cs="Arial"/>
        </w:rPr>
      </w:pPr>
      <w:r>
        <w:rPr>
          <w:b w:val="false"/>
          <w:bCs w:val="false"/>
        </w:rPr>
      </w:r>
    </w:p>
    <w:p>
      <w:pPr>
        <w:pStyle w:val="Normal"/>
        <w:jc w:val="both"/>
        <w:rPr>
          <w:b w:val="false"/>
          <w:b w:val="false"/>
          <w:bCs w:val="false"/>
        </w:rPr>
      </w:pPr>
      <w:r>
        <w:rPr>
          <w:rFonts w:eastAsia="Times New Roman" w:cs="Times New Roman"/>
          <w:b w:val="false"/>
          <w:bCs w:val="false"/>
        </w:rPr>
        <w:t>„</w:t>
      </w:r>
      <w:r>
        <w:rPr>
          <w:rFonts w:eastAsia="NSimSun" w:cs="Arial"/>
          <w:b w:val="false"/>
          <w:bCs w:val="false"/>
        </w:rPr>
        <w:t xml:space="preserve">U takozvanom ontološkom dokazu o postojanju boga radi se o učenju da uz pojam neke savršene biti spada i njezina ergzistencija, jer ako bi nekoj najsavršenijoj biti bilo šta nedostajalo, a pogotovo tako nešto značajno kao što je njezina egzistencija, onda ona i ne bi bila više najsavršenija bit, već bi time što ne egzistira, imala jedan osjetljiv nedostatak; usljed toga se njoj ne bi, kako dolikuje moglo predicirati da je ona najsavršenija bit. </w:t>
      </w:r>
      <w:r>
        <w:rPr>
          <w:rFonts w:eastAsia="NSimSun" w:cs="Arial"/>
          <w:b w:val="false"/>
          <w:bCs w:val="false"/>
        </w:rPr>
        <w:t>Ako, dakle, ona ne egzistira, onda se kaže da ne bi bio ispunjen njezin sopstveni pojam, pojam bi onda u sebi samom bio protivurječan, a takav pojam, kao što je pojam najsavršenije biti, sam po sebi ne bi uopšte mogao sadržavati neku protivurječnost. Kant, nasuprot tome, argumentira da pojam, kao misaona tvorevina, prije svega ništa ne kazuje o realnosti onoga što je ovim pojmom obuhvaćeno.</w:t>
      </w:r>
      <w:r>
        <w:rPr>
          <w:rFonts w:eastAsia="Times New Roman" w:cs="Times New Roman"/>
          <w:b w:val="false"/>
          <w:bCs w:val="false"/>
        </w:rPr>
        <w:t>‟</w:t>
      </w:r>
    </w:p>
    <w:p>
      <w:pPr>
        <w:pStyle w:val="Normal"/>
        <w:jc w:val="both"/>
        <w:rPr>
          <w:rFonts w:ascii="Times New Roman" w:hAnsi="Times New Roman" w:eastAsia="Times New Roman" w:cs="Times New Roman"/>
        </w:rPr>
      </w:pPr>
      <w:r>
        <w:rPr>
          <w:b w:val="false"/>
          <w:bCs w:val="false"/>
        </w:rPr>
      </w:r>
    </w:p>
    <w:p>
      <w:pPr>
        <w:pStyle w:val="Normal"/>
        <w:jc w:val="both"/>
        <w:rPr>
          <w:rFonts w:ascii="Times New Roman" w:hAnsi="Times New Roman" w:eastAsia="Times New Roman" w:cs="Times New Roman"/>
        </w:rPr>
      </w:pPr>
      <w:r>
        <w:rPr>
          <w:b w:val="false"/>
          <w:bCs w:val="false"/>
        </w:rPr>
      </w:r>
    </w:p>
    <w:p>
      <w:pPr>
        <w:pStyle w:val="Normal"/>
        <w:jc w:val="both"/>
        <w:rPr>
          <w:rFonts w:ascii="Times New Roman" w:hAnsi="Times New Roman" w:eastAsia="Times New Roman" w:cs="Times New Roman"/>
        </w:rPr>
      </w:pPr>
      <w:r>
        <w:rPr>
          <w:b w:val="false"/>
          <w:bCs w:val="false"/>
        </w:rPr>
      </w:r>
    </w:p>
    <w:p>
      <w:pPr>
        <w:pStyle w:val="Normal"/>
        <w:jc w:val="both"/>
        <w:rPr>
          <w:rFonts w:ascii="Times New Roman" w:hAnsi="Times New Roman" w:eastAsia="Times New Roman" w:cs="Times New Roman"/>
        </w:rPr>
      </w:pPr>
      <w:r>
        <w:rPr>
          <w:b w:val="false"/>
          <w:bCs w:val="false"/>
        </w:rPr>
      </w:r>
    </w:p>
    <w:p>
      <w:pPr>
        <w:pStyle w:val="Normal"/>
        <w:jc w:val="both"/>
        <w:rPr>
          <w:rFonts w:ascii="Times New Roman" w:hAnsi="Times New Roman" w:eastAsia="Times New Roman" w:cs="Times New Roman"/>
        </w:rPr>
      </w:pPr>
      <w:r>
        <w:rPr>
          <w:b w:val="false"/>
          <w:bCs w:val="false"/>
        </w:rPr>
      </w:r>
    </w:p>
    <w:p>
      <w:pPr>
        <w:pStyle w:val="Normal"/>
        <w:jc w:val="both"/>
        <w:rPr>
          <w:rFonts w:ascii="Times New Roman" w:hAnsi="Times New Roman" w:eastAsia="Times New Roman" w:cs="Times New Roman"/>
        </w:rPr>
      </w:pPr>
      <w:r>
        <w:rPr>
          <w:b w:val="false"/>
          <w:bCs w:val="false"/>
        </w:rPr>
      </w:r>
    </w:p>
    <w:p>
      <w:pPr>
        <w:pStyle w:val="Normal"/>
        <w:jc w:val="both"/>
        <w:rPr>
          <w:rFonts w:ascii="Times New Roman" w:hAnsi="Times New Roman" w:eastAsia="Times New Roman" w:cs="Times New Roman"/>
        </w:rPr>
      </w:pPr>
      <w:r>
        <w:rPr>
          <w:b w:val="false"/>
          <w:bCs w:val="false"/>
        </w:rPr>
      </w:r>
    </w:p>
    <w:p>
      <w:pPr>
        <w:pStyle w:val="Normal"/>
        <w:jc w:val="both"/>
        <w:rPr>
          <w:rFonts w:ascii="Times New Roman" w:hAnsi="Times New Roman" w:eastAsia="Times New Roman" w:cs="Times New Roman"/>
        </w:rPr>
      </w:pPr>
      <w:r>
        <w:rPr>
          <w:b w:val="false"/>
          <w:bCs w:val="false"/>
        </w:rPr>
      </w:r>
    </w:p>
    <w:p>
      <w:pPr>
        <w:pStyle w:val="Normal"/>
        <w:jc w:val="both"/>
        <w:rPr>
          <w:b/>
          <w:b/>
          <w:bCs/>
        </w:rPr>
      </w:pPr>
      <w:r>
        <w:rPr>
          <w:rFonts w:eastAsia="Times New Roman" w:cs="Times New Roman"/>
          <w:b/>
          <w:bCs/>
        </w:rPr>
        <w:t>F</w:t>
      </w:r>
      <w:r>
        <w:rPr>
          <w:rFonts w:eastAsia="Times New Roman" w:cs="Times New Roman"/>
          <w:b/>
          <w:bCs/>
        </w:rPr>
        <w:t xml:space="preserve">ink, E., </w:t>
      </w:r>
      <w:r>
        <w:rPr>
          <w:rFonts w:eastAsia="Times New Roman" w:cs="Times New Roman"/>
          <w:b/>
          <w:bCs/>
          <w:i/>
          <w:iCs/>
        </w:rPr>
        <w:t>Uvod u filozofiju (08. 04. 2020.)</w:t>
      </w:r>
    </w:p>
    <w:p>
      <w:pPr>
        <w:pStyle w:val="Normal"/>
        <w:jc w:val="both"/>
        <w:rPr>
          <w:rFonts w:ascii="Times New Roman" w:hAnsi="Times New Roman" w:eastAsia="Times New Roman" w:cs="Times New Roman"/>
          <w:i/>
          <w:i/>
          <w:iCs/>
        </w:rPr>
      </w:pPr>
      <w:r>
        <w:rPr>
          <w:b/>
          <w:bCs/>
        </w:rPr>
      </w:r>
    </w:p>
    <w:p>
      <w:pPr>
        <w:pStyle w:val="Normal"/>
        <w:jc w:val="both"/>
        <w:rPr>
          <w:b w:val="false"/>
          <w:b w:val="false"/>
          <w:bCs w:val="false"/>
          <w:i w:val="false"/>
          <w:i w:val="false"/>
          <w:iCs w:val="false"/>
        </w:rPr>
      </w:pPr>
      <w:r>
        <w:rPr>
          <w:rFonts w:eastAsia="Times New Roman" w:cs="Times New Roman"/>
          <w:b w:val="false"/>
          <w:bCs w:val="false"/>
          <w:i w:val="false"/>
          <w:iCs w:val="false"/>
        </w:rPr>
        <w:t>Pitanja:</w:t>
      </w:r>
    </w:p>
    <w:p>
      <w:pPr>
        <w:pStyle w:val="Normal"/>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 Huserlov pojam naivnosti – naivnost kao prirodni stav</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 Hajdegerov pojam naivnosti kao ontološke indiferencije</w:t>
      </w:r>
    </w:p>
    <w:p>
      <w:pPr>
        <w:pStyle w:val="Normal"/>
        <w:jc w:val="both"/>
        <w:rPr>
          <w:rFonts w:ascii="Times New Roman" w:hAnsi="Times New Roman" w:eastAsia="Times New Roman" w:cs="Times New Roman"/>
        </w:rPr>
      </w:pPr>
      <w:r>
        <w:rPr>
          <w:b w:val="false"/>
          <w:bCs w:val="false"/>
          <w:i w:val="false"/>
          <w:iCs w:val="false"/>
        </w:rPr>
      </w:r>
    </w:p>
    <w:p>
      <w:pPr>
        <w:pStyle w:val="Normal"/>
        <w:jc w:val="both"/>
        <w:rPr>
          <w:rFonts w:ascii="Times New Roman" w:hAnsi="Times New Roman" w:eastAsia="Times New Roman" w:cs="Times New Roman"/>
        </w:rPr>
      </w:pPr>
      <w:r>
        <w:rPr>
          <w:b w:val="false"/>
          <w:bCs w:val="false"/>
          <w:i w:val="false"/>
          <w:iCs w:val="false"/>
        </w:rPr>
      </w:r>
    </w:p>
    <w:p>
      <w:pPr>
        <w:pStyle w:val="Normal"/>
        <w:jc w:val="both"/>
        <w:rPr>
          <w:rFonts w:ascii="Times New Roman" w:hAnsi="Times New Roman" w:eastAsia="Times New Roman" w:cs="Times New Roman"/>
        </w:rPr>
      </w:pPr>
      <w:r>
        <w:rPr>
          <w:b w:val="false"/>
          <w:bCs w:val="false"/>
          <w:i w:val="false"/>
          <w:iCs w:val="false"/>
        </w:rPr>
      </w:r>
    </w:p>
    <w:p>
      <w:pPr>
        <w:pStyle w:val="Normal"/>
        <w:jc w:val="both"/>
        <w:rPr>
          <w:b w:val="false"/>
          <w:b w:val="false"/>
          <w:bCs w:val="false"/>
          <w:i w:val="false"/>
          <w:i w:val="false"/>
          <w:iCs w:val="false"/>
        </w:rPr>
      </w:pPr>
      <w:r>
        <w:rPr>
          <w:rFonts w:eastAsia="Times New Roman" w:cs="Times New Roman"/>
          <w:b w:val="false"/>
          <w:bCs w:val="false"/>
          <w:i w:val="false"/>
          <w:iCs w:val="false"/>
        </w:rPr>
        <w:t>Izvodi:</w:t>
      </w:r>
    </w:p>
    <w:p>
      <w:pPr>
        <w:pStyle w:val="Normal"/>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Ova egzistencijalna promena, koja se vrši u filozofiji, pojavljuje se kod Huserla u jednom smotrenom misaonom kretanju, koje ćuteći o svojoj životnoj značajnosti, započinje u intencionalnoj analitici Prirodnog stava. Izlaganjem prirodnog stava u </w:t>
      </w:r>
      <w:r>
        <w:rPr>
          <w:rFonts w:eastAsia="Times New Roman" w:cs="Times New Roman"/>
          <w:b w:val="false"/>
          <w:bCs w:val="false"/>
          <w:i/>
          <w:iCs/>
        </w:rPr>
        <w:t>Idejama</w:t>
      </w:r>
      <w:r>
        <w:rPr>
          <w:rFonts w:eastAsia="Times New Roman" w:cs="Times New Roman"/>
          <w:b w:val="false"/>
          <w:bCs w:val="false"/>
          <w:i w:val="false"/>
          <w:iCs w:val="false"/>
        </w:rPr>
        <w:t xml:space="preserve">… Huserl otvara fundamentalno fenomenološko razmatranje, stupa na put filozofije...Izlaganje prirodnog stava predstavlja prvi korak fenomenološke redukcije… </w:t>
      </w:r>
      <w:r>
        <w:rPr>
          <w:rFonts w:eastAsia="Times New Roman" w:cs="Times New Roman"/>
          <w:b w:val="false"/>
          <w:bCs w:val="false"/>
          <w:i w:val="false"/>
          <w:iCs w:val="false"/>
        </w:rPr>
        <w:t xml:space="preserve">U ovoj osnovnoj odlici zasniva se </w:t>
      </w:r>
      <w:r>
        <w:rPr>
          <w:rFonts w:eastAsia="Times New Roman" w:cs="Times New Roman"/>
          <w:b w:val="false"/>
          <w:bCs w:val="false"/>
          <w:i/>
          <w:iCs/>
        </w:rPr>
        <w:t>naivnost, prirodnost</w:t>
      </w:r>
      <w:r>
        <w:rPr>
          <w:rFonts w:eastAsia="Times New Roman" w:cs="Times New Roman"/>
          <w:b w:val="false"/>
          <w:bCs w:val="false"/>
          <w:i w:val="false"/>
          <w:iCs w:val="false"/>
        </w:rPr>
        <w:t xml:space="preserve"> ljudskog tubivstvovanja. Drugim riječima, bezupitnost, koja nama vlada pre filozofije, mora ležati upravo u prirodnom izvršavanju iskušavajućeg, saznavajućeg, hotećeg, u najširem smislu, mnivajućeg susretanja sa okolnim bivstvujućim. Huserl ovo izvršavanje naziva </w:t>
      </w:r>
      <w:r>
        <w:rPr>
          <w:rFonts w:eastAsia="Times New Roman" w:cs="Times New Roman"/>
          <w:b w:val="false"/>
          <w:bCs w:val="false"/>
          <w:i/>
          <w:iCs/>
        </w:rPr>
        <w:t>generalnom tezom</w:t>
      </w:r>
      <w:r>
        <w:rPr>
          <w:rFonts w:eastAsia="Times New Roman" w:cs="Times New Roman"/>
          <w:b w:val="false"/>
          <w:bCs w:val="false"/>
          <w:i w:val="false"/>
          <w:iCs w:val="false"/>
        </w:rPr>
        <w:t xml:space="preserve"> Prirodnog stava. Mi u njoj, kao ustrojstvu našeg života pre filozofije, vršimo jedno stalno i u ovoj stalnosti ne naročito, kao takvo, svesno, samorazumljivo postavljanje, tezu, </w:t>
      </w:r>
      <w:r>
        <w:rPr>
          <w:rFonts w:eastAsia="Times New Roman" w:cs="Times New Roman"/>
          <w:b w:val="false"/>
          <w:bCs w:val="false"/>
          <w:i/>
          <w:iCs/>
        </w:rPr>
        <w:t xml:space="preserve">tezu o bivstvu sveta. </w:t>
      </w:r>
      <w:r>
        <w:rPr>
          <w:rFonts w:eastAsia="Times New Roman" w:cs="Times New Roman"/>
          <w:b w:val="false"/>
          <w:bCs w:val="false"/>
          <w:i w:val="false"/>
          <w:iCs w:val="false"/>
        </w:rPr>
        <w:t>Ova generalna teza prožima naš celokupni delatni život i vlada njime...‟</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Naivnost pred-filozofskog gledanja na svet vidi se u osnovnom držanju čoveka: u ravnodušnosti za razlikovanje bivstvujućeg i bivstva, odnosno u ‚ontološkoj indiferenciji‘. Ova ontološka indiferencija jeste način kako se naše tubivstvovanje, koje smo mi sami, dešava: mi egzistiramo u ne-razlikovanju, u tromosti našeg razumevanja bivstvovanja. </w:t>
      </w:r>
      <w:r>
        <w:rPr>
          <w:rFonts w:eastAsia="Times New Roman" w:cs="Times New Roman"/>
          <w:b w:val="false"/>
          <w:bCs w:val="false"/>
          <w:i w:val="false"/>
          <w:iCs w:val="false"/>
        </w:rPr>
        <w:t xml:space="preserve">Tradicionalno određenje čoveka kao ‚uma‘ mniva upravo razumevanje bivstvovanja; čovek je bivstvujuće koje ne samo da jeste, nego uvek i razumeva bivstvo. Razumevanje bivstvovanja je najpre i najvećim delom </w:t>
      </w:r>
      <w:r>
        <w:rPr>
          <w:rFonts w:eastAsia="Times New Roman" w:cs="Times New Roman"/>
          <w:b w:val="false"/>
          <w:bCs w:val="false"/>
          <w:i/>
          <w:iCs/>
        </w:rPr>
        <w:t>neizričito</w:t>
      </w:r>
      <w:r>
        <w:rPr>
          <w:rFonts w:eastAsia="Times New Roman" w:cs="Times New Roman"/>
          <w:b w:val="false"/>
          <w:bCs w:val="false"/>
          <w:i w:val="false"/>
          <w:iCs w:val="false"/>
        </w:rPr>
        <w:t>, ali se može učiniti i izričitim. Filozofiranje je činjenje izričitim razumevanja bivstvovanja. Razumevanje bivstvovanja koje je filozofirajući učinjeno izričitim zove se u strogom smislu ‚ontološko‘, pred-filozofsko i neizričito zove se pred-ontološko.‟</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jc w:val="both"/>
        <w:rPr>
          <w:rFonts w:ascii="Times New Roman" w:hAnsi="Times New Roman" w:eastAsia="Times New Roman" w:cs="Times New Roman"/>
        </w:rPr>
      </w:pPr>
      <w:r>
        <w:rPr>
          <w:b w:val="false"/>
          <w:bCs w:val="false"/>
          <w:i w:val="false"/>
          <w:iCs w:val="false"/>
        </w:rPr>
      </w:r>
    </w:p>
    <w:p>
      <w:pPr>
        <w:pStyle w:val="Normal"/>
        <w:jc w:val="both"/>
        <w:rPr>
          <w:rFonts w:ascii="Times New Roman" w:hAnsi="Times New Roman" w:eastAsia="Times New Roman" w:cs="Times New Roman"/>
        </w:rPr>
      </w:pPr>
      <w:r>
        <w:rPr>
          <w:b w:val="false"/>
          <w:bCs w:val="false"/>
          <w:i w:val="false"/>
          <w:iCs w:val="false"/>
        </w:rPr>
      </w:r>
    </w:p>
    <w:p>
      <w:pPr>
        <w:pStyle w:val="Normal"/>
        <w:jc w:val="both"/>
        <w:rPr>
          <w:rFonts w:ascii="Times New Roman" w:hAnsi="Times New Roman" w:eastAsia="Times New Roman" w:cs="Times New Roman"/>
        </w:rPr>
      </w:pPr>
      <w:r>
        <w:rPr>
          <w:b w:val="false"/>
          <w:bCs w:val="false"/>
          <w:i w:val="false"/>
          <w:iCs w:val="false"/>
        </w:rPr>
      </w:r>
    </w:p>
    <w:p>
      <w:pPr>
        <w:pStyle w:val="Normal"/>
        <w:jc w:val="both"/>
        <w:rPr>
          <w:rFonts w:ascii="Times New Roman" w:hAnsi="Times New Roman" w:eastAsia="Times New Roman" w:cs="Times New Roman"/>
        </w:rPr>
      </w:pPr>
      <w:r>
        <w:rPr>
          <w:b w:val="false"/>
          <w:bCs w:val="false"/>
          <w:i w:val="false"/>
          <w:iCs w:val="false"/>
        </w:rPr>
      </w:r>
    </w:p>
    <w:p>
      <w:pPr>
        <w:pStyle w:val="Normal"/>
        <w:jc w:val="both"/>
        <w:rPr>
          <w:rFonts w:ascii="Times New Roman" w:hAnsi="Times New Roman" w:eastAsia="Times New Roman" w:cs="Times New Roman"/>
        </w:rPr>
      </w:pPr>
      <w:r>
        <w:rPr>
          <w:b w:val="false"/>
          <w:bCs w:val="false"/>
          <w:i w:val="false"/>
          <w:iCs w:val="false"/>
        </w:rPr>
      </w:r>
    </w:p>
    <w:p>
      <w:pPr>
        <w:pStyle w:val="Normal"/>
        <w:jc w:val="both"/>
        <w:rPr>
          <w:b w:val="false"/>
          <w:b w:val="false"/>
          <w:bCs w:val="false"/>
          <w:i w:val="false"/>
          <w:i w:val="false"/>
          <w:iCs w:val="false"/>
        </w:rPr>
      </w:pPr>
      <w:r>
        <w:rPr>
          <w:rFonts w:eastAsia="Times New Roman" w:cs="Times New Roman"/>
          <w:b w:val="false"/>
          <w:bCs w:val="false"/>
          <w:i w:val="false"/>
          <w:iCs w:val="false"/>
        </w:rPr>
        <w:t>Prethodno</w:t>
      </w:r>
    </w:p>
    <w:p>
      <w:pPr>
        <w:pStyle w:val="Normal"/>
        <w:jc w:val="both"/>
        <w:rPr/>
      </w:pPr>
      <w:r>
        <w:rPr/>
      </w:r>
    </w:p>
    <w:p>
      <w:pPr>
        <w:pStyle w:val="Normal"/>
        <w:rPr>
          <w:b/>
          <w:b/>
          <w:bCs/>
        </w:rPr>
      </w:pPr>
      <w:r>
        <w:rPr>
          <w:b/>
          <w:bCs/>
        </w:rPr>
        <w:t xml:space="preserve">Adorno, T., </w:t>
      </w:r>
      <w:r>
        <w:rPr>
          <w:b/>
          <w:bCs/>
          <w:i/>
          <w:iCs/>
        </w:rPr>
        <w:t>Filozofska terminologija (01. 04. 2020.)</w:t>
      </w:r>
    </w:p>
    <w:p>
      <w:pPr>
        <w:pStyle w:val="Normal"/>
        <w:rPr>
          <w:i/>
          <w:i/>
          <w:iCs/>
        </w:rPr>
      </w:pPr>
      <w:r>
        <w:rPr>
          <w:i/>
          <w:iCs/>
        </w:rPr>
      </w:r>
    </w:p>
    <w:p>
      <w:pPr>
        <w:pStyle w:val="Normal"/>
        <w:rPr>
          <w:i w:val="false"/>
          <w:i w:val="false"/>
          <w:iCs w:val="false"/>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r>
        <w:rPr>
          <w:i w:val="false"/>
          <w:iCs w:val="false"/>
        </w:rPr>
        <w:t>- Filozofija i pogled na svijet</w:t>
      </w:r>
    </w:p>
    <w:p>
      <w:pPr>
        <w:pStyle w:val="Normal"/>
        <w:spacing w:lineRule="auto" w:line="360"/>
        <w:rPr>
          <w:i w:val="false"/>
          <w:i w:val="false"/>
          <w:iCs w:val="false"/>
        </w:rPr>
      </w:pPr>
      <w:r>
        <w:rPr>
          <w:i w:val="false"/>
          <w:iCs w:val="false"/>
        </w:rPr>
        <w:t>- Pogled na svijet kao vezanost</w:t>
      </w:r>
    </w:p>
    <w:p>
      <w:pPr>
        <w:pStyle w:val="Normal"/>
        <w:spacing w:lineRule="auto" w:line="360"/>
        <w:rPr>
          <w:i w:val="false"/>
          <w:i w:val="false"/>
          <w:iCs w:val="false"/>
        </w:rPr>
      </w:pPr>
      <w:r>
        <w:rPr>
          <w:i w:val="false"/>
          <w:iCs w:val="false"/>
        </w:rPr>
        <w:t>- Filozofija i pedagogija</w:t>
      </w:r>
    </w:p>
    <w:p>
      <w:pPr>
        <w:pStyle w:val="Normal"/>
        <w:spacing w:lineRule="auto" w:line="360"/>
        <w:rPr>
          <w:i w:val="false"/>
          <w:i w:val="false"/>
          <w:iCs w:val="false"/>
        </w:rPr>
      </w:pPr>
      <w:r>
        <w:rPr>
          <w:i w:val="false"/>
          <w:iCs w:val="false"/>
        </w:rPr>
        <w:t>- Filozofija i istina</w:t>
      </w:r>
    </w:p>
    <w:p>
      <w:pPr>
        <w:pStyle w:val="Normal"/>
        <w:spacing w:lineRule="auto" w:line="360"/>
        <w:rPr>
          <w:i w:val="false"/>
          <w:i w:val="false"/>
          <w:iCs w:val="false"/>
        </w:rPr>
      </w:pPr>
      <w:r>
        <w:rPr>
          <w:i w:val="false"/>
          <w:iCs w:val="false"/>
        </w:rPr>
        <w:t>- Kant i ontološki dokaz o postojanju boga</w:t>
      </w:r>
    </w:p>
    <w:p>
      <w:pPr>
        <w:pStyle w:val="Normal"/>
        <w:spacing w:lineRule="auto" w:line="360"/>
        <w:rPr>
          <w:i w:val="false"/>
          <w:i w:val="false"/>
          <w:iCs w:val="false"/>
        </w:rPr>
      </w:pPr>
      <w:r>
        <w:rPr>
          <w:i w:val="false"/>
          <w:iCs w:val="false"/>
        </w:rPr>
      </w:r>
    </w:p>
    <w:p>
      <w:pPr>
        <w:pStyle w:val="Normal"/>
        <w:spacing w:lineRule="auto" w:line="360"/>
        <w:rPr>
          <w:b w:val="false"/>
          <w:b w:val="false"/>
          <w:bCs w:val="false"/>
          <w:i w:val="false"/>
          <w:i w:val="false"/>
          <w:iCs w:val="false"/>
        </w:rPr>
      </w:pPr>
      <w:r>
        <w:rPr/>
      </w:r>
    </w:p>
    <w:p>
      <w:pPr>
        <w:pStyle w:val="Normal"/>
        <w:spacing w:lineRule="auto" w:line="360"/>
        <w:rPr/>
      </w:pPr>
      <w:r>
        <w:rPr>
          <w:b/>
          <w:bCs/>
          <w:i w:val="false"/>
          <w:iCs w:val="false"/>
        </w:rPr>
        <w:t xml:space="preserve">Adorno, T., </w:t>
      </w:r>
      <w:r>
        <w:rPr>
          <w:b/>
          <w:bCs/>
          <w:i/>
          <w:iCs/>
        </w:rPr>
        <w:t>Filozofska terminologija</w:t>
      </w:r>
      <w:r>
        <w:rPr>
          <w:b/>
          <w:bCs/>
          <w:i w:val="false"/>
          <w:iCs w:val="false"/>
        </w:rPr>
        <w:t xml:space="preserve"> </w:t>
      </w:r>
      <w:r>
        <w:rPr>
          <w:b/>
          <w:bCs/>
          <w:i w:val="false"/>
          <w:iCs w:val="false"/>
        </w:rPr>
        <w:t>(25.03. 2020.)</w:t>
      </w:r>
    </w:p>
    <w:p>
      <w:pPr>
        <w:pStyle w:val="Normal"/>
        <w:spacing w:lineRule="auto" w:line="360"/>
        <w:rPr>
          <w:i w:val="false"/>
          <w:i w:val="false"/>
          <w:iCs w:val="false"/>
        </w:rPr>
      </w:pPr>
      <w:r>
        <w:rPr>
          <w:i w:val="false"/>
          <w:iCs w:val="false"/>
        </w:rPr>
        <w:t>Pitanja:</w:t>
      </w:r>
    </w:p>
    <w:p>
      <w:pPr>
        <w:pStyle w:val="Normal"/>
        <w:spacing w:lineRule="auto" w:line="360"/>
        <w:rPr>
          <w:i w:val="false"/>
          <w:i w:val="false"/>
          <w:iCs w:val="false"/>
        </w:rPr>
      </w:pPr>
      <w:r>
        <w:rPr>
          <w:i w:val="false"/>
          <w:iCs w:val="false"/>
        </w:rPr>
        <w:t>- Filozofija i podjela rada</w:t>
      </w:r>
    </w:p>
    <w:p>
      <w:pPr>
        <w:pStyle w:val="Normal"/>
        <w:spacing w:lineRule="auto" w:line="360"/>
        <w:rPr>
          <w:i w:val="false"/>
          <w:i w:val="false"/>
          <w:iCs w:val="false"/>
        </w:rPr>
      </w:pPr>
      <w:r>
        <w:rPr>
          <w:i w:val="false"/>
          <w:iCs w:val="false"/>
        </w:rPr>
        <w:t>- Filozofija kao struka i ne-struka</w:t>
      </w:r>
    </w:p>
    <w:p>
      <w:pPr>
        <w:pStyle w:val="Normal"/>
        <w:spacing w:lineRule="auto" w:line="360"/>
        <w:rPr>
          <w:i w:val="false"/>
          <w:i w:val="false"/>
          <w:iCs w:val="false"/>
        </w:rPr>
      </w:pPr>
      <w:r>
        <w:rPr>
          <w:i w:val="false"/>
          <w:iCs w:val="false"/>
        </w:rPr>
        <w:t>- Filozofija i običan jezik</w:t>
      </w:r>
    </w:p>
    <w:p>
      <w:pPr>
        <w:pStyle w:val="Normal"/>
        <w:spacing w:lineRule="auto" w:line="360"/>
        <w:rPr>
          <w:i w:val="false"/>
          <w:i w:val="false"/>
          <w:iCs w:val="false"/>
        </w:rPr>
      </w:pPr>
      <w:r>
        <w:rPr>
          <w:i w:val="false"/>
          <w:iCs w:val="false"/>
        </w:rPr>
        <w:t>- Filozofija i njena terminologija</w:t>
      </w:r>
    </w:p>
    <w:p>
      <w:pPr>
        <w:pStyle w:val="Normal"/>
        <w:spacing w:lineRule="auto" w:line="360"/>
        <w:rPr/>
      </w:pPr>
      <w:r>
        <w:rPr>
          <w:i/>
          <w:iCs/>
        </w:rPr>
        <w:t xml:space="preserve">- </w:t>
      </w:r>
      <w:r>
        <w:rPr>
          <w:i w:val="false"/>
          <w:iCs w:val="false"/>
        </w:rPr>
        <w:t>Filozofske škole i terminologija</w:t>
      </w:r>
    </w:p>
    <w:p>
      <w:pPr>
        <w:pStyle w:val="Normal"/>
        <w:spacing w:lineRule="auto" w:line="360"/>
        <w:rPr>
          <w:i w:val="false"/>
          <w:i w:val="false"/>
          <w:iCs w:val="false"/>
        </w:rPr>
      </w:pPr>
      <w:r>
        <w:rPr/>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t>Komentare, primjedbe, analize i radove slati na mejl adrese</w:t>
      </w:r>
    </w:p>
    <w:p>
      <w:pPr>
        <w:pStyle w:val="Normal"/>
        <w:spacing w:lineRule="auto" w:line="360"/>
        <w:rPr/>
      </w:pPr>
      <w:r>
        <w:rPr>
          <w:i w:val="false"/>
          <w:iCs w:val="false"/>
        </w:rPr>
        <w:t xml:space="preserve">   </w:t>
      </w: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p>
      <w:pPr>
        <w:pStyle w:val="Normal"/>
        <w:spacing w:lineRule="auto" w:line="36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LibreOffice/6.2.1.2$Windows_X86_64 LibreOffice_project/7bcb35dc3024a62dea0caee87020152d1ee96e71</Application>
  <Pages>3</Pages>
  <Words>866</Words>
  <Characters>4988</Characters>
  <CharactersWithSpaces>5827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2020-03-30T15:47:56Z</dcterms:created>
  <dc:creator/>
  <dc:description/>
  <dc:language>sr-Latn-RS</dc:language>
  <cp:lastModifiedBy/>
  <dcterms:modified xsi:type="dcterms:W3CDTF">2020-04-07T13:23:00Z</dcterms:modified>
  <cp:revision>3</cp:revision>
  <dc:subject/>
  <dc:title/>
</cp:coreProperties>
</file>